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21D6" w14:textId="77777777" w:rsidR="00A54ECB" w:rsidRPr="00A54ECB" w:rsidRDefault="00A54ECB" w:rsidP="00A54ECB">
      <w:pPr>
        <w:pStyle w:val="NormalWeb"/>
        <w:jc w:val="both"/>
        <w:rPr>
          <w:b/>
          <w:bCs/>
        </w:rPr>
      </w:pPr>
      <w:r w:rsidRPr="00A54ECB">
        <w:rPr>
          <w:b/>
          <w:bCs/>
        </w:rPr>
        <w:t>Demystifying Cash Balance Plans: Who Can Benefit from Them and Why?</w:t>
      </w:r>
    </w:p>
    <w:p w14:paraId="287707FA" w14:textId="77777777" w:rsidR="00A54ECB" w:rsidRDefault="00A54ECB" w:rsidP="00A54ECB">
      <w:pPr>
        <w:pStyle w:val="NormalWeb"/>
        <w:jc w:val="both"/>
      </w:pPr>
      <w:r>
        <w:t>If you are a business owner or self-employed professional looking for a tax-efficient way to save for retirement, a cash balance plan may be worth considering. A cash balance plan is a type of defined benefit plan that can provide significant tax benefits and retirement savings opportunities for certain individuals.</w:t>
      </w:r>
    </w:p>
    <w:p w14:paraId="7979D7C3" w14:textId="77777777" w:rsidR="00A54ECB" w:rsidRPr="00A54ECB" w:rsidRDefault="00A54ECB" w:rsidP="00A54ECB">
      <w:pPr>
        <w:pStyle w:val="NormalWeb"/>
        <w:jc w:val="both"/>
        <w:rPr>
          <w:b/>
          <w:bCs/>
        </w:rPr>
      </w:pPr>
      <w:r w:rsidRPr="00A54ECB">
        <w:rPr>
          <w:b/>
          <w:bCs/>
        </w:rPr>
        <w:t>What is a Cash Balance Plan?</w:t>
      </w:r>
    </w:p>
    <w:p w14:paraId="52573ACA" w14:textId="77777777" w:rsidR="00A54ECB" w:rsidRDefault="00A54ECB" w:rsidP="00A54ECB">
      <w:pPr>
        <w:pStyle w:val="NormalWeb"/>
        <w:jc w:val="both"/>
      </w:pPr>
      <w:r>
        <w:t>A cash balance plan is a type of defined benefit plan that combines features of a traditional pension plan and a 401(k) plan. In a cash balance plan, the employer makes annual contributions to the plan on behalf of the employee, and those contributions are invested and earn a fixed rate of return. The employee receives a “hypothetical account balance” based on the contributions and earnings.</w:t>
      </w:r>
    </w:p>
    <w:p w14:paraId="77774766" w14:textId="77777777" w:rsidR="00A54ECB" w:rsidRDefault="00A54ECB" w:rsidP="00A54ECB">
      <w:pPr>
        <w:pStyle w:val="NormalWeb"/>
        <w:jc w:val="both"/>
      </w:pPr>
      <w:r>
        <w:t>At retirement, the employee can choose to receive the account balance as a lump sum or as an annuity. If the employee chooses an annuity, the payments are guaranteed for life, and the amount of the payments is based on the account balance and the employee’s age at retirement.</w:t>
      </w:r>
    </w:p>
    <w:p w14:paraId="35FB0319" w14:textId="77777777" w:rsidR="00A54ECB" w:rsidRPr="00A54ECB" w:rsidRDefault="00A54ECB" w:rsidP="00A54ECB">
      <w:pPr>
        <w:pStyle w:val="NormalWeb"/>
        <w:jc w:val="both"/>
        <w:rPr>
          <w:b/>
          <w:bCs/>
        </w:rPr>
      </w:pPr>
      <w:r w:rsidRPr="00A54ECB">
        <w:rPr>
          <w:b/>
          <w:bCs/>
        </w:rPr>
        <w:t>Who Can Benefit from a Cash Balance Plan?</w:t>
      </w:r>
    </w:p>
    <w:p w14:paraId="79B2B769" w14:textId="77777777" w:rsidR="00A54ECB" w:rsidRDefault="00A54ECB" w:rsidP="00A54ECB">
      <w:pPr>
        <w:pStyle w:val="NormalWeb"/>
        <w:jc w:val="both"/>
      </w:pPr>
      <w:r>
        <w:t>Cash balance plans are most suitable for small business owners and self-employed individuals who are looking for a tax-efficient way to save for retirement and who have high income and stable cash flows. Cash balance plans can also be a good fit for business owners who want to maximize their retirement savings and who have a limited number of employees.</w:t>
      </w:r>
    </w:p>
    <w:p w14:paraId="58333579" w14:textId="77777777" w:rsidR="00A54ECB" w:rsidRDefault="00A54ECB" w:rsidP="00A54ECB">
      <w:pPr>
        <w:pStyle w:val="NormalWeb"/>
        <w:jc w:val="both"/>
      </w:pPr>
      <w:r>
        <w:t>Here are some of the key benefits of cash balance plans:</w:t>
      </w:r>
    </w:p>
    <w:p w14:paraId="3F974663" w14:textId="77777777" w:rsidR="00A54ECB" w:rsidRDefault="00A54ECB" w:rsidP="00A54ECB">
      <w:pPr>
        <w:pStyle w:val="NormalWeb"/>
        <w:jc w:val="both"/>
      </w:pPr>
      <w:r>
        <w:t>1. Tax Benefits</w:t>
      </w:r>
    </w:p>
    <w:p w14:paraId="29741F3B" w14:textId="77777777" w:rsidR="00A54ECB" w:rsidRDefault="00A54ECB" w:rsidP="00A54ECB">
      <w:pPr>
        <w:pStyle w:val="NormalWeb"/>
        <w:jc w:val="both"/>
      </w:pPr>
      <w:r>
        <w:t>Cash balance plans offer significant tax benefits for both employers and employees. Employer contributions to the plan are tax-deductible, and investment earnings grow tax-free within the plan. Employees can also defer income taxes on their contributions and investment earnings until retirement, when they may be in a lower tax bracket.</w:t>
      </w:r>
    </w:p>
    <w:p w14:paraId="66DED70C" w14:textId="77777777" w:rsidR="00A54ECB" w:rsidRDefault="00A54ECB" w:rsidP="00A54ECB">
      <w:pPr>
        <w:pStyle w:val="NormalWeb"/>
        <w:jc w:val="both"/>
      </w:pPr>
      <w:r>
        <w:t>2. High Contribution Limits</w:t>
      </w:r>
    </w:p>
    <w:p w14:paraId="0DECE58B" w14:textId="77777777" w:rsidR="00A54ECB" w:rsidRDefault="00A54ECB" w:rsidP="00A54ECB">
      <w:pPr>
        <w:pStyle w:val="NormalWeb"/>
        <w:jc w:val="both"/>
      </w:pPr>
      <w:r>
        <w:t>Cash balance plans allow for higher contribution limits than other retirement plans, such as 401(k) plans and IRAs. The contribution limits are based on the employee’s age and </w:t>
      </w:r>
      <w:proofErr w:type="gramStart"/>
      <w:r>
        <w:t>income, and</w:t>
      </w:r>
      <w:proofErr w:type="gramEnd"/>
      <w:r>
        <w:t xml:space="preserve"> can be as high as $300,000 per year.</w:t>
      </w:r>
    </w:p>
    <w:p w14:paraId="542EB47A" w14:textId="77777777" w:rsidR="00A54ECB" w:rsidRDefault="00A54ECB" w:rsidP="00A54ECB">
      <w:pPr>
        <w:pStyle w:val="NormalWeb"/>
        <w:jc w:val="both"/>
      </w:pPr>
      <w:r>
        <w:t>3. Guaranteed Retirement Income</w:t>
      </w:r>
    </w:p>
    <w:p w14:paraId="1ECE81E4" w14:textId="77777777" w:rsidR="00A54ECB" w:rsidRDefault="00A54ECB" w:rsidP="00A54ECB">
      <w:pPr>
        <w:pStyle w:val="NormalWeb"/>
        <w:jc w:val="both"/>
      </w:pPr>
      <w:r>
        <w:t>Cash balance plans provide a guaranteed retirement income, which can help employees plan for retirement and provide peace of mind. The payments are guaranteed by the employer and are not subject to market fluctuations.</w:t>
      </w:r>
    </w:p>
    <w:p w14:paraId="7359CBEF" w14:textId="77777777" w:rsidR="00A54ECB" w:rsidRDefault="00A54ECB" w:rsidP="00A54ECB">
      <w:pPr>
        <w:pStyle w:val="NormalWeb"/>
        <w:jc w:val="both"/>
      </w:pPr>
      <w:r>
        <w:lastRenderedPageBreak/>
        <w:t>4. Creditor Protection</w:t>
      </w:r>
    </w:p>
    <w:p w14:paraId="56F1944C" w14:textId="77777777" w:rsidR="00A54ECB" w:rsidRDefault="00A54ECB" w:rsidP="00A54ECB">
      <w:pPr>
        <w:pStyle w:val="NormalWeb"/>
        <w:jc w:val="both"/>
      </w:pPr>
      <w:r>
        <w:t>Cash balance plans offer creditor protection in the event of bankruptcy or lawsuits. The plan assets are protected from creditors and are not considered part of the employer’s assets.</w:t>
      </w:r>
    </w:p>
    <w:p w14:paraId="34690391" w14:textId="77777777" w:rsidR="00A54ECB" w:rsidRDefault="00A54ECB" w:rsidP="00A54ECB">
      <w:pPr>
        <w:pStyle w:val="NormalWeb"/>
        <w:jc w:val="both"/>
      </w:pPr>
    </w:p>
    <w:p w14:paraId="0CD306D9" w14:textId="535FA765" w:rsidR="00A54ECB" w:rsidRPr="00A54ECB" w:rsidRDefault="00A54ECB" w:rsidP="00A54ECB">
      <w:pPr>
        <w:pStyle w:val="NormalWeb"/>
        <w:jc w:val="both"/>
        <w:rPr>
          <w:b/>
          <w:bCs/>
        </w:rPr>
      </w:pPr>
      <w:r w:rsidRPr="00A54ECB">
        <w:rPr>
          <w:b/>
          <w:bCs/>
        </w:rPr>
        <w:t>Conclusion</w:t>
      </w:r>
      <w:r>
        <w:rPr>
          <w:b/>
          <w:bCs/>
        </w:rPr>
        <w:t>:</w:t>
      </w:r>
    </w:p>
    <w:p w14:paraId="16BA6124" w14:textId="77777777" w:rsidR="00A54ECB" w:rsidRDefault="00A54ECB" w:rsidP="00A54ECB">
      <w:pPr>
        <w:pStyle w:val="NormalWeb"/>
        <w:jc w:val="both"/>
      </w:pPr>
      <w:r>
        <w:t>Cash balance plans can be a powerful retirement savings tool for certain individuals, providing significant tax benefits, high contribution limits, guaranteed retirement income, and creditor protection. However, cash balance plans can be complex and expensive to set up and </w:t>
      </w:r>
      <w:proofErr w:type="gramStart"/>
      <w:r>
        <w:t>maintain, and</w:t>
      </w:r>
      <w:proofErr w:type="gramEnd"/>
      <w:r>
        <w:t xml:space="preserve"> may not be suitable for all businesses. It is important to consult with a qualified financial advisor or retirement plan specialist to determine if a cash balance plan is right for you.</w:t>
      </w:r>
    </w:p>
    <w:p w14:paraId="5F95F891" w14:textId="2E32F6F0" w:rsidR="008A0688" w:rsidRPr="00A54ECB" w:rsidRDefault="008A0688" w:rsidP="00A54ECB">
      <w:pPr>
        <w:jc w:val="both"/>
      </w:pPr>
    </w:p>
    <w:sectPr w:rsidR="008A0688" w:rsidRPr="00A54ECB" w:rsidSect="00DE31B3">
      <w:headerReference w:type="even" r:id="rId6"/>
      <w:headerReference w:type="default" r:id="rId7"/>
      <w:footerReference w:type="even" r:id="rId8"/>
      <w:footerReference w:type="default" r:id="rId9"/>
      <w:pgSz w:w="12240" w:h="15840"/>
      <w:pgMar w:top="144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C438" w14:textId="77777777" w:rsidR="00AE056B" w:rsidRDefault="00AE056B" w:rsidP="00027052">
      <w:r>
        <w:separator/>
      </w:r>
    </w:p>
  </w:endnote>
  <w:endnote w:type="continuationSeparator" w:id="0">
    <w:p w14:paraId="6DA24C08" w14:textId="77777777" w:rsidR="00AE056B" w:rsidRDefault="00AE056B" w:rsidP="0002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A48" w14:textId="77777777" w:rsidR="00BE7EF1" w:rsidRDefault="00BE7EF1" w:rsidP="00BE7EF1">
    <w:pPr>
      <w:pStyle w:val="Footer"/>
      <w:pBdr>
        <w:bottom w:val="single" w:sz="6" w:space="1" w:color="auto"/>
      </w:pBdr>
    </w:pPr>
  </w:p>
  <w:p w14:paraId="3F7C37A4" w14:textId="7CBB03C7" w:rsidR="00BE7EF1" w:rsidRDefault="00BE7EF1">
    <w:pPr>
      <w:pStyle w:val="Footer"/>
    </w:pPr>
    <w:hyperlink r:id="rId1" w:history="1">
      <w:r w:rsidRPr="00F9400E">
        <w:rPr>
          <w:rStyle w:val="Hyperlink"/>
        </w:rPr>
        <w:t>www.fbsgroup.co</w:t>
      </w:r>
    </w:hyperlink>
    <w:r>
      <w:t xml:space="preserve"> </w:t>
    </w:r>
    <w:r>
      <w:tab/>
    </w:r>
    <w:r>
      <w:t>+1.214.307.4320</w:t>
    </w:r>
    <w:r>
      <w:tab/>
    </w:r>
    <w:hyperlink r:id="rId2" w:history="1">
      <w:r w:rsidRPr="00F9400E">
        <w:rPr>
          <w:rStyle w:val="Hyperlink"/>
        </w:rPr>
        <w:t>office@fbsgroup.co</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A817" w14:textId="7E0AB7FE" w:rsidR="00027052" w:rsidRDefault="00027052">
    <w:pPr>
      <w:pStyle w:val="Footer"/>
      <w:pBdr>
        <w:bottom w:val="single" w:sz="6" w:space="1" w:color="auto"/>
      </w:pBdr>
    </w:pPr>
  </w:p>
  <w:p w14:paraId="7713DC27" w14:textId="139E4B06" w:rsidR="00027052" w:rsidRDefault="00000000">
    <w:pPr>
      <w:pStyle w:val="Footer"/>
    </w:pPr>
    <w:hyperlink r:id="rId1" w:history="1">
      <w:r w:rsidR="00027052" w:rsidRPr="00F9400E">
        <w:rPr>
          <w:rStyle w:val="Hyperlink"/>
        </w:rPr>
        <w:t>www.fbsgroup.co</w:t>
      </w:r>
    </w:hyperlink>
    <w:r w:rsidR="00027052">
      <w:t xml:space="preserve"> </w:t>
    </w:r>
    <w:r w:rsidR="00027052">
      <w:tab/>
    </w:r>
    <w:r w:rsidR="00BE7EF1">
      <w:t>+1.214.307.4320</w:t>
    </w:r>
    <w:r w:rsidR="00027052">
      <w:tab/>
    </w:r>
    <w:hyperlink r:id="rId2" w:history="1">
      <w:r w:rsidR="00027052" w:rsidRPr="00F9400E">
        <w:rPr>
          <w:rStyle w:val="Hyperlink"/>
        </w:rPr>
        <w:t>office@fbsgroup.co</w:t>
      </w:r>
    </w:hyperlink>
    <w:r w:rsidR="000270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1C5E" w14:textId="77777777" w:rsidR="00AE056B" w:rsidRDefault="00AE056B" w:rsidP="00027052">
      <w:r>
        <w:separator/>
      </w:r>
    </w:p>
  </w:footnote>
  <w:footnote w:type="continuationSeparator" w:id="0">
    <w:p w14:paraId="272ACEDE" w14:textId="77777777" w:rsidR="00AE056B" w:rsidRDefault="00AE056B" w:rsidP="0002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F38" w14:textId="61777FC4" w:rsidR="00BE7EF1" w:rsidRDefault="00BE7EF1" w:rsidP="00BE7EF1">
    <w:pPr>
      <w:pStyle w:val="Header"/>
      <w:pBdr>
        <w:bottom w:val="single" w:sz="6" w:space="1" w:color="auto"/>
      </w:pBdr>
    </w:pPr>
    <w:r>
      <w:rPr>
        <w:noProof/>
        <w14:ligatures w14:val="standardContextual"/>
      </w:rPr>
      <mc:AlternateContent>
        <mc:Choice Requires="wps">
          <w:drawing>
            <wp:anchor distT="0" distB="0" distL="114300" distR="114300" simplePos="0" relativeHeight="251661312" behindDoc="0" locked="0" layoutInCell="1" allowOverlap="1" wp14:anchorId="6ED8A167" wp14:editId="07B4D625">
              <wp:simplePos x="0" y="0"/>
              <wp:positionH relativeFrom="column">
                <wp:posOffset>4039235</wp:posOffset>
              </wp:positionH>
              <wp:positionV relativeFrom="paragraph">
                <wp:posOffset>158895</wp:posOffset>
              </wp:positionV>
              <wp:extent cx="2016177" cy="306757"/>
              <wp:effectExtent l="0" t="0" r="3175" b="0"/>
              <wp:wrapNone/>
              <wp:docPr id="1066753253" name="Text Box 1"/>
              <wp:cNvGraphicFramePr/>
              <a:graphic xmlns:a="http://schemas.openxmlformats.org/drawingml/2006/main">
                <a:graphicData uri="http://schemas.microsoft.com/office/word/2010/wordprocessingShape">
                  <wps:wsp>
                    <wps:cNvSpPr txBox="1"/>
                    <wps:spPr>
                      <a:xfrm>
                        <a:off x="0" y="0"/>
                        <a:ext cx="2016177" cy="306757"/>
                      </a:xfrm>
                      <a:prstGeom prst="rect">
                        <a:avLst/>
                      </a:prstGeom>
                      <a:solidFill>
                        <a:schemeClr val="lt1"/>
                      </a:solidFill>
                      <a:ln w="6350">
                        <a:noFill/>
                      </a:ln>
                    </wps:spPr>
                    <wps:txbx>
                      <w:txbxContent>
                        <w:p w14:paraId="4451DAE9" w14:textId="77777777" w:rsidR="00BE7EF1" w:rsidRDefault="00BE7EF1" w:rsidP="00BE7EF1">
                          <w:r>
                            <w:t>Registered Investment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D8A167" id="_x0000_t202" coordsize="21600,21600" o:spt="202" path="m,l,21600r21600,l21600,xe">
              <v:stroke joinstyle="miter"/>
              <v:path gradientshapeok="t" o:connecttype="rect"/>
            </v:shapetype>
            <v:shape id="Text Box 1" o:spid="_x0000_s1026" type="#_x0000_t202" style="position:absolute;margin-left:318.05pt;margin-top:12.5pt;width:158.75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YCLAIAAFQEAAAOAAAAZHJzL2Uyb0RvYy54bWysVEtv2zAMvg/YfxB0X+ykeXRGnCJLkWFA&#13;&#10;0BZIh54VWYoNyKImKbGzXz9Kdh7rdhp2kUmR+vj66P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" fillcolor="white [3201]" stroked="f" strokeweight=".5pt">
              <v:textbox>
                <w:txbxContent>
                  <w:p w14:paraId="4451DAE9" w14:textId="77777777" w:rsidR="00BE7EF1" w:rsidRDefault="00BE7EF1" w:rsidP="00BE7EF1">
                    <w:r>
                      <w:t>Registered Investment Adviser</w:t>
                    </w:r>
                  </w:p>
                </w:txbxContent>
              </v:textbox>
            </v:shape>
          </w:pict>
        </mc:Fallback>
      </mc:AlternateContent>
    </w:r>
    <w:r>
      <w:rPr>
        <w:noProof/>
      </w:rPr>
      <w:drawing>
        <wp:inline distT="114300" distB="114300" distL="114300" distR="114300" wp14:anchorId="3F88084E" wp14:editId="60B38162">
          <wp:extent cx="1086787" cy="577121"/>
          <wp:effectExtent l="0" t="0" r="0" b="0"/>
          <wp:docPr id="925362656" name="image1.png" descr="A blu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ogo with text&#10;&#10;Description automatically generated"/>
                  <pic:cNvPicPr preferRelativeResize="0"/>
                </pic:nvPicPr>
                <pic:blipFill>
                  <a:blip r:embed="rId1"/>
                  <a:srcRect/>
                  <a:stretch>
                    <a:fillRect/>
                  </a:stretch>
                </pic:blipFill>
                <pic:spPr>
                  <a:xfrm>
                    <a:off x="0" y="0"/>
                    <a:ext cx="1109196" cy="589021"/>
                  </a:xfrm>
                  <a:prstGeom prst="rect">
                    <a:avLst/>
                  </a:prstGeom>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4C2" w14:textId="447DC1EB" w:rsidR="00027052" w:rsidRDefault="00027052">
    <w:pPr>
      <w:pStyle w:val="Header"/>
      <w:pBdr>
        <w:bottom w:val="single" w:sz="6" w:space="1" w:color="auto"/>
      </w:pBdr>
    </w:pPr>
    <w:r>
      <w:rPr>
        <w:noProof/>
        <w14:ligatures w14:val="standardContextual"/>
      </w:rPr>
      <mc:AlternateContent>
        <mc:Choice Requires="wps">
          <w:drawing>
            <wp:anchor distT="0" distB="0" distL="114300" distR="114300" simplePos="0" relativeHeight="251659264" behindDoc="0" locked="0" layoutInCell="1" allowOverlap="1" wp14:anchorId="2785205A" wp14:editId="3DDA0DFF">
              <wp:simplePos x="0" y="0"/>
              <wp:positionH relativeFrom="column">
                <wp:posOffset>4039235</wp:posOffset>
              </wp:positionH>
              <wp:positionV relativeFrom="paragraph">
                <wp:posOffset>158895</wp:posOffset>
              </wp:positionV>
              <wp:extent cx="2016177" cy="306757"/>
              <wp:effectExtent l="0" t="0" r="3175" b="0"/>
              <wp:wrapNone/>
              <wp:docPr id="2045754388" name="Text Box 1"/>
              <wp:cNvGraphicFramePr/>
              <a:graphic xmlns:a="http://schemas.openxmlformats.org/drawingml/2006/main">
                <a:graphicData uri="http://schemas.microsoft.com/office/word/2010/wordprocessingShape">
                  <wps:wsp>
                    <wps:cNvSpPr txBox="1"/>
                    <wps:spPr>
                      <a:xfrm>
                        <a:off x="0" y="0"/>
                        <a:ext cx="2016177" cy="306757"/>
                      </a:xfrm>
                      <a:prstGeom prst="rect">
                        <a:avLst/>
                      </a:prstGeom>
                      <a:solidFill>
                        <a:schemeClr val="lt1"/>
                      </a:solidFill>
                      <a:ln w="6350">
                        <a:noFill/>
                      </a:ln>
                    </wps:spPr>
                    <wps:txbx>
                      <w:txbxContent>
                        <w:p w14:paraId="212B1F86" w14:textId="276E53CA" w:rsidR="00027052" w:rsidRDefault="00027052">
                          <w:r>
                            <w:t>Registered Investment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85205A" id="_x0000_t202" coordsize="21600,21600" o:spt="202" path="m,l,21600r21600,l21600,xe">
              <v:stroke joinstyle="miter"/>
              <v:path gradientshapeok="t" o:connecttype="rect"/>
            </v:shapetype>
            <v:shape id="_x0000_s1027" type="#_x0000_t202" style="position:absolute;margin-left:318.05pt;margin-top:12.5pt;width:158.75pt;height:2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" fillcolor="white [3201]" stroked="f" strokeweight=".5pt">
              <v:textbox>
                <w:txbxContent>
                  <w:p w14:paraId="212B1F86" w14:textId="276E53CA" w:rsidR="00027052" w:rsidRDefault="00027052">
                    <w:r>
                      <w:t>Registered Investment Adviser</w:t>
                    </w:r>
                  </w:p>
                </w:txbxContent>
              </v:textbox>
            </v:shape>
          </w:pict>
        </mc:Fallback>
      </mc:AlternateContent>
    </w:r>
    <w:r>
      <w:rPr>
        <w:noProof/>
      </w:rPr>
      <w:drawing>
        <wp:inline distT="114300" distB="114300" distL="114300" distR="114300" wp14:anchorId="577AC3A3" wp14:editId="5AE2356E">
          <wp:extent cx="1086787" cy="577121"/>
          <wp:effectExtent l="0" t="0" r="0" b="0"/>
          <wp:docPr id="2" name="image1.png" descr="A blu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ogo with text&#10;&#10;Description automatically generated"/>
                  <pic:cNvPicPr preferRelativeResize="0"/>
                </pic:nvPicPr>
                <pic:blipFill>
                  <a:blip r:embed="rId1"/>
                  <a:srcRect/>
                  <a:stretch>
                    <a:fillRect/>
                  </a:stretch>
                </pic:blipFill>
                <pic:spPr>
                  <a:xfrm>
                    <a:off x="0" y="0"/>
                    <a:ext cx="1109196" cy="589021"/>
                  </a:xfrm>
                  <a:prstGeom prst="rect">
                    <a:avLst/>
                  </a:prstGeom>
                  <a:ln/>
                </pic:spPr>
              </pic:pic>
            </a:graphicData>
          </a:graphic>
        </wp:inline>
      </w:drawing>
    </w:r>
    <w:r>
      <w:tab/>
    </w:r>
    <w:r>
      <w:tab/>
    </w:r>
  </w:p>
  <w:p w14:paraId="4E2C248B" w14:textId="77777777" w:rsidR="00027052" w:rsidRDefault="00027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C1"/>
    <w:rsid w:val="0002375A"/>
    <w:rsid w:val="00027052"/>
    <w:rsid w:val="000D3A22"/>
    <w:rsid w:val="00112CCC"/>
    <w:rsid w:val="001F1A04"/>
    <w:rsid w:val="002C1B93"/>
    <w:rsid w:val="00436D3D"/>
    <w:rsid w:val="00565418"/>
    <w:rsid w:val="005D6C65"/>
    <w:rsid w:val="00605AA5"/>
    <w:rsid w:val="0066417D"/>
    <w:rsid w:val="006B17E5"/>
    <w:rsid w:val="0072450F"/>
    <w:rsid w:val="007F5EC1"/>
    <w:rsid w:val="008A0688"/>
    <w:rsid w:val="009E2E4F"/>
    <w:rsid w:val="00A54ECB"/>
    <w:rsid w:val="00AE056B"/>
    <w:rsid w:val="00B04750"/>
    <w:rsid w:val="00BE7EF1"/>
    <w:rsid w:val="00C52E21"/>
    <w:rsid w:val="00C876CE"/>
    <w:rsid w:val="00CF5E00"/>
    <w:rsid w:val="00D13D51"/>
    <w:rsid w:val="00DD08D3"/>
    <w:rsid w:val="00DE31B3"/>
    <w:rsid w:val="00E0663A"/>
    <w:rsid w:val="00E25193"/>
    <w:rsid w:val="00EA121F"/>
    <w:rsid w:val="00F7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ED6302"/>
  <w15:chartTrackingRefBased/>
  <w15:docId w15:val="{48E28DEF-B42A-FA4C-B60A-2467F765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2"/>
      <w14:ligatures w14:val="none"/>
    </w:rPr>
  </w:style>
  <w:style w:type="paragraph" w:styleId="Heading1">
    <w:name w:val="heading 1"/>
    <w:basedOn w:val="Normal"/>
    <w:next w:val="Normal"/>
    <w:link w:val="Heading1Char"/>
    <w:uiPriority w:val="9"/>
    <w:qFormat/>
    <w:rsid w:val="007F5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C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F5EC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5EC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F5EC1"/>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7F5EC1"/>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7F5EC1"/>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7F5EC1"/>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7F5EC1"/>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7F5EC1"/>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7F5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F5E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F5E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5EC1"/>
    <w:rPr>
      <w:i/>
      <w:iCs/>
      <w:color w:val="404040" w:themeColor="text1" w:themeTint="BF"/>
      <w:kern w:val="0"/>
      <w:sz w:val="22"/>
      <w14:ligatures w14:val="none"/>
    </w:rPr>
  </w:style>
  <w:style w:type="paragraph" w:styleId="ListParagraph">
    <w:name w:val="List Paragraph"/>
    <w:basedOn w:val="Normal"/>
    <w:uiPriority w:val="34"/>
    <w:qFormat/>
    <w:rsid w:val="007F5EC1"/>
    <w:pPr>
      <w:ind w:left="720"/>
      <w:contextualSpacing/>
    </w:pPr>
  </w:style>
  <w:style w:type="character" w:styleId="IntenseEmphasis">
    <w:name w:val="Intense Emphasis"/>
    <w:basedOn w:val="DefaultParagraphFont"/>
    <w:uiPriority w:val="21"/>
    <w:qFormat/>
    <w:rsid w:val="007F5EC1"/>
    <w:rPr>
      <w:i/>
      <w:iCs/>
      <w:color w:val="0F4761" w:themeColor="accent1" w:themeShade="BF"/>
    </w:rPr>
  </w:style>
  <w:style w:type="paragraph" w:styleId="IntenseQuote">
    <w:name w:val="Intense Quote"/>
    <w:basedOn w:val="Normal"/>
    <w:next w:val="Normal"/>
    <w:link w:val="IntenseQuoteChar"/>
    <w:uiPriority w:val="30"/>
    <w:qFormat/>
    <w:rsid w:val="007F5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C1"/>
    <w:rPr>
      <w:i/>
      <w:iCs/>
      <w:color w:val="0F4761" w:themeColor="accent1" w:themeShade="BF"/>
      <w:kern w:val="0"/>
      <w:sz w:val="22"/>
      <w14:ligatures w14:val="none"/>
    </w:rPr>
  </w:style>
  <w:style w:type="character" w:styleId="IntenseReference">
    <w:name w:val="Intense Reference"/>
    <w:basedOn w:val="DefaultParagraphFont"/>
    <w:uiPriority w:val="32"/>
    <w:qFormat/>
    <w:rsid w:val="007F5EC1"/>
    <w:rPr>
      <w:b/>
      <w:bCs/>
      <w:smallCaps/>
      <w:color w:val="0F4761" w:themeColor="accent1" w:themeShade="BF"/>
      <w:spacing w:val="5"/>
    </w:rPr>
  </w:style>
  <w:style w:type="paragraph" w:styleId="NormalWeb">
    <w:name w:val="Normal (Web)"/>
    <w:basedOn w:val="Normal"/>
    <w:uiPriority w:val="99"/>
    <w:unhideWhenUsed/>
    <w:rsid w:val="007F5EC1"/>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027052"/>
    <w:pPr>
      <w:tabs>
        <w:tab w:val="center" w:pos="4680"/>
        <w:tab w:val="right" w:pos="9360"/>
      </w:tabs>
    </w:pPr>
  </w:style>
  <w:style w:type="character" w:customStyle="1" w:styleId="HeaderChar">
    <w:name w:val="Header Char"/>
    <w:basedOn w:val="DefaultParagraphFont"/>
    <w:link w:val="Header"/>
    <w:uiPriority w:val="99"/>
    <w:rsid w:val="00027052"/>
    <w:rPr>
      <w:kern w:val="0"/>
      <w:sz w:val="22"/>
      <w14:ligatures w14:val="none"/>
    </w:rPr>
  </w:style>
  <w:style w:type="paragraph" w:styleId="Footer">
    <w:name w:val="footer"/>
    <w:basedOn w:val="Normal"/>
    <w:link w:val="FooterChar"/>
    <w:uiPriority w:val="99"/>
    <w:unhideWhenUsed/>
    <w:rsid w:val="00027052"/>
    <w:pPr>
      <w:tabs>
        <w:tab w:val="center" w:pos="4680"/>
        <w:tab w:val="right" w:pos="9360"/>
      </w:tabs>
    </w:pPr>
  </w:style>
  <w:style w:type="character" w:customStyle="1" w:styleId="FooterChar">
    <w:name w:val="Footer Char"/>
    <w:basedOn w:val="DefaultParagraphFont"/>
    <w:link w:val="Footer"/>
    <w:uiPriority w:val="99"/>
    <w:rsid w:val="00027052"/>
    <w:rPr>
      <w:kern w:val="0"/>
      <w:sz w:val="22"/>
      <w14:ligatures w14:val="none"/>
    </w:rPr>
  </w:style>
  <w:style w:type="character" w:styleId="Hyperlink">
    <w:name w:val="Hyperlink"/>
    <w:basedOn w:val="DefaultParagraphFont"/>
    <w:uiPriority w:val="99"/>
    <w:unhideWhenUsed/>
    <w:rsid w:val="00027052"/>
    <w:rPr>
      <w:color w:val="467886" w:themeColor="hyperlink"/>
      <w:u w:val="single"/>
    </w:rPr>
  </w:style>
  <w:style w:type="character" w:styleId="UnresolvedMention">
    <w:name w:val="Unresolved Mention"/>
    <w:basedOn w:val="DefaultParagraphFont"/>
    <w:uiPriority w:val="99"/>
    <w:semiHidden/>
    <w:unhideWhenUsed/>
    <w:rsid w:val="000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3071">
      <w:bodyDiv w:val="1"/>
      <w:marLeft w:val="0"/>
      <w:marRight w:val="0"/>
      <w:marTop w:val="0"/>
      <w:marBottom w:val="0"/>
      <w:divBdr>
        <w:top w:val="none" w:sz="0" w:space="0" w:color="auto"/>
        <w:left w:val="none" w:sz="0" w:space="0" w:color="auto"/>
        <w:bottom w:val="none" w:sz="0" w:space="0" w:color="auto"/>
        <w:right w:val="none" w:sz="0" w:space="0" w:color="auto"/>
      </w:divBdr>
    </w:div>
    <w:div w:id="17262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fbsgroup.co" TargetMode="External"/><Relationship Id="rId1" Type="http://schemas.openxmlformats.org/officeDocument/2006/relationships/hyperlink" Target="http://www.fbsgroup.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fbsgroup.co" TargetMode="External"/><Relationship Id="rId1" Type="http://schemas.openxmlformats.org/officeDocument/2006/relationships/hyperlink" Target="http://www.fbsgroup.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Anika V</dc:creator>
  <cp:keywords/>
  <dc:description/>
  <cp:lastModifiedBy>Reddy, Anika V</cp:lastModifiedBy>
  <cp:revision>4</cp:revision>
  <dcterms:created xsi:type="dcterms:W3CDTF">2024-05-13T15:12:00Z</dcterms:created>
  <dcterms:modified xsi:type="dcterms:W3CDTF">2024-05-13T15:14:00Z</dcterms:modified>
</cp:coreProperties>
</file>